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6A5F" w:rsidRPr="00AA7E59" w:rsidRDefault="000B6A5F" w:rsidP="000B6A5F">
      <w:pPr>
        <w:spacing w:line="360" w:lineRule="auto"/>
        <w:ind w:left="6179"/>
        <w:jc w:val="left"/>
        <w:rPr>
          <w:rFonts w:ascii="Tahoma" w:hAnsi="Tahoma" w:cs="Tahoma"/>
          <w:sz w:val="22"/>
          <w:szCs w:val="22"/>
          <w:rtl/>
        </w:rPr>
      </w:pPr>
      <w:bookmarkStart w:id="0" w:name="Date"/>
      <w:bookmarkStart w:id="1" w:name="_GoBack"/>
      <w:bookmarkEnd w:id="0"/>
      <w:bookmarkEnd w:id="1"/>
    </w:p>
    <w:p w:rsidR="000B6A5F" w:rsidRPr="00AA7E59" w:rsidRDefault="000B6A5F" w:rsidP="000B6A5F">
      <w:pPr>
        <w:spacing w:line="360" w:lineRule="auto"/>
        <w:ind w:left="6179"/>
        <w:jc w:val="left"/>
        <w:rPr>
          <w:rFonts w:ascii="Tahoma" w:hAnsi="Tahoma" w:cs="Tahoma"/>
          <w:sz w:val="22"/>
          <w:szCs w:val="22"/>
          <w:rtl/>
        </w:rPr>
      </w:pPr>
      <w:r w:rsidRPr="00AA7E59">
        <w:rPr>
          <w:rFonts w:ascii="Tahoma" w:hAnsi="Tahoma" w:cs="Tahoma" w:hint="eastAsia"/>
          <w:sz w:val="22"/>
          <w:szCs w:val="22"/>
          <w:rtl/>
        </w:rPr>
        <w:t>כ</w:t>
      </w:r>
      <w:r w:rsidRPr="00AA7E59">
        <w:rPr>
          <w:rFonts w:ascii="Tahoma" w:hAnsi="Tahoma" w:cs="Tahoma"/>
          <w:sz w:val="22"/>
          <w:szCs w:val="22"/>
          <w:rtl/>
        </w:rPr>
        <w:t xml:space="preserve">' </w:t>
      </w:r>
      <w:r w:rsidRPr="00AA7E59">
        <w:rPr>
          <w:rFonts w:ascii="Tahoma" w:hAnsi="Tahoma" w:cs="Tahoma" w:hint="eastAsia"/>
          <w:sz w:val="22"/>
          <w:szCs w:val="22"/>
          <w:rtl/>
        </w:rPr>
        <w:t>בשבט</w:t>
      </w:r>
      <w:r w:rsidRPr="00AA7E59">
        <w:rPr>
          <w:rFonts w:ascii="Tahoma" w:hAnsi="Tahoma" w:cs="Tahoma"/>
          <w:sz w:val="22"/>
          <w:szCs w:val="22"/>
          <w:rtl/>
        </w:rPr>
        <w:t xml:space="preserve"> </w:t>
      </w:r>
      <w:proofErr w:type="spellStart"/>
      <w:r w:rsidRPr="00AA7E59">
        <w:rPr>
          <w:rFonts w:ascii="Tahoma" w:hAnsi="Tahoma" w:cs="Tahoma" w:hint="eastAsia"/>
          <w:sz w:val="22"/>
          <w:szCs w:val="22"/>
          <w:rtl/>
        </w:rPr>
        <w:t>התשע</w:t>
      </w:r>
      <w:r w:rsidRPr="00AA7E59">
        <w:rPr>
          <w:rFonts w:ascii="Tahoma" w:hAnsi="Tahoma" w:cs="Tahoma"/>
          <w:sz w:val="22"/>
          <w:szCs w:val="22"/>
          <w:rtl/>
        </w:rPr>
        <w:t>"</w:t>
      </w:r>
      <w:r w:rsidRPr="00AA7E59">
        <w:rPr>
          <w:rFonts w:ascii="Tahoma" w:hAnsi="Tahoma" w:cs="Tahoma" w:hint="eastAsia"/>
          <w:sz w:val="22"/>
          <w:szCs w:val="22"/>
          <w:rtl/>
        </w:rPr>
        <w:t>ב</w:t>
      </w:r>
      <w:proofErr w:type="spellEnd"/>
      <w:r w:rsidRPr="00AA7E59">
        <w:rPr>
          <w:rFonts w:ascii="Tahoma" w:hAnsi="Tahoma" w:cs="Tahoma"/>
          <w:sz w:val="22"/>
          <w:szCs w:val="22"/>
          <w:rtl/>
        </w:rPr>
        <w:br/>
        <w:t xml:space="preserve">13 </w:t>
      </w:r>
      <w:r w:rsidRPr="00AA7E59">
        <w:rPr>
          <w:rFonts w:ascii="Tahoma" w:hAnsi="Tahoma" w:cs="Tahoma" w:hint="eastAsia"/>
          <w:sz w:val="22"/>
          <w:szCs w:val="22"/>
          <w:rtl/>
        </w:rPr>
        <w:t>בפברואר</w:t>
      </w:r>
      <w:r w:rsidRPr="00AA7E59">
        <w:rPr>
          <w:rFonts w:ascii="Tahoma" w:hAnsi="Tahoma" w:cs="Tahoma"/>
          <w:sz w:val="22"/>
          <w:szCs w:val="22"/>
          <w:rtl/>
        </w:rPr>
        <w:t xml:space="preserve"> 2012</w:t>
      </w:r>
    </w:p>
    <w:p w:rsidR="001116CC" w:rsidRPr="00AA7E59" w:rsidRDefault="000B6A5F" w:rsidP="001116CC">
      <w:pPr>
        <w:spacing w:line="360" w:lineRule="auto"/>
        <w:ind w:left="6179"/>
        <w:jc w:val="left"/>
        <w:rPr>
          <w:rFonts w:ascii="Tahoma" w:hAnsi="Tahoma" w:cs="Tahoma"/>
          <w:sz w:val="22"/>
          <w:szCs w:val="22"/>
          <w:rtl/>
        </w:rPr>
      </w:pPr>
      <w:bookmarkStart w:id="2" w:name="DocNum"/>
      <w:bookmarkEnd w:id="2"/>
      <w:r w:rsidRPr="00AA7E59">
        <w:rPr>
          <w:rFonts w:ascii="Tahoma" w:hAnsi="Tahoma" w:cs="Tahoma" w:hint="eastAsia"/>
          <w:sz w:val="22"/>
          <w:szCs w:val="22"/>
          <w:rtl/>
        </w:rPr>
        <w:t>שה</w:t>
      </w:r>
      <w:r w:rsidRPr="00AA7E59">
        <w:rPr>
          <w:rFonts w:ascii="Tahoma" w:hAnsi="Tahoma" w:cs="Tahoma"/>
          <w:sz w:val="22"/>
          <w:szCs w:val="22"/>
          <w:rtl/>
        </w:rPr>
        <w:t>. 2012-7677</w:t>
      </w:r>
    </w:p>
    <w:p w:rsidR="00C3464B" w:rsidRPr="00AA7E59" w:rsidRDefault="00C3464B" w:rsidP="000B6A5F">
      <w:pPr>
        <w:spacing w:line="360" w:lineRule="auto"/>
        <w:jc w:val="left"/>
        <w:rPr>
          <w:rFonts w:ascii="Tahoma" w:hAnsi="Tahoma" w:cs="Tahoma"/>
          <w:sz w:val="22"/>
          <w:szCs w:val="22"/>
          <w:rtl/>
        </w:rPr>
      </w:pPr>
    </w:p>
    <w:p w:rsidR="001116CC" w:rsidRPr="00AA7E59" w:rsidRDefault="001116CC" w:rsidP="000B6A5F">
      <w:pPr>
        <w:spacing w:line="360" w:lineRule="auto"/>
        <w:ind w:left="651" w:hanging="651"/>
        <w:jc w:val="left"/>
        <w:rPr>
          <w:rFonts w:ascii="Tahoma" w:hAnsi="Tahoma" w:cs="Tahoma"/>
          <w:sz w:val="22"/>
          <w:szCs w:val="22"/>
          <w:rtl/>
        </w:rPr>
      </w:pPr>
      <w:r w:rsidRPr="00AA7E59">
        <w:rPr>
          <w:rFonts w:ascii="Tahoma" w:hAnsi="Tahoma" w:cs="Tahoma" w:hint="eastAsia"/>
          <w:sz w:val="22"/>
          <w:szCs w:val="22"/>
          <w:rtl/>
        </w:rPr>
        <w:t>לכבוד</w:t>
      </w:r>
    </w:p>
    <w:p w:rsidR="001116CC" w:rsidRPr="00AA7E59" w:rsidRDefault="001116CC" w:rsidP="000B6A5F">
      <w:pPr>
        <w:spacing w:line="360" w:lineRule="auto"/>
        <w:ind w:left="651" w:hanging="651"/>
        <w:jc w:val="left"/>
        <w:rPr>
          <w:rFonts w:ascii="Tahoma" w:hAnsi="Tahoma" w:cs="Tahoma"/>
          <w:sz w:val="22"/>
          <w:szCs w:val="22"/>
          <w:rtl/>
        </w:rPr>
      </w:pPr>
      <w:r w:rsidRPr="00AA7E59">
        <w:rPr>
          <w:rFonts w:ascii="Tahoma" w:hAnsi="Tahoma" w:cs="Tahoma" w:hint="eastAsia"/>
          <w:sz w:val="22"/>
          <w:szCs w:val="22"/>
          <w:rtl/>
        </w:rPr>
        <w:t>ועדת</w:t>
      </w:r>
      <w:r w:rsidRPr="00AA7E59">
        <w:rPr>
          <w:rFonts w:ascii="Tahoma" w:hAnsi="Tahoma" w:cs="Tahoma"/>
          <w:sz w:val="22"/>
          <w:szCs w:val="22"/>
          <w:rtl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המכרזים</w:t>
      </w:r>
    </w:p>
    <w:p w:rsidR="001116CC" w:rsidRPr="00AA7E59" w:rsidRDefault="001116CC" w:rsidP="000B6A5F">
      <w:pPr>
        <w:spacing w:line="360" w:lineRule="auto"/>
        <w:ind w:left="651" w:hanging="651"/>
        <w:jc w:val="left"/>
        <w:rPr>
          <w:rFonts w:ascii="Tahoma" w:hAnsi="Tahoma" w:cs="Tahoma"/>
          <w:sz w:val="22"/>
          <w:szCs w:val="22"/>
          <w:rtl/>
        </w:rPr>
      </w:pPr>
      <w:r w:rsidRPr="00AA7E59">
        <w:rPr>
          <w:rFonts w:ascii="Tahoma" w:hAnsi="Tahoma" w:cs="Tahoma" w:hint="eastAsia"/>
          <w:sz w:val="22"/>
          <w:szCs w:val="22"/>
          <w:rtl/>
        </w:rPr>
        <w:t>משרד</w:t>
      </w:r>
      <w:r w:rsidRPr="00AA7E59">
        <w:rPr>
          <w:rFonts w:ascii="Tahoma" w:hAnsi="Tahoma" w:cs="Tahoma"/>
          <w:sz w:val="22"/>
          <w:szCs w:val="22"/>
          <w:rtl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האוצר</w:t>
      </w:r>
    </w:p>
    <w:p w:rsidR="001116CC" w:rsidRPr="00AA7E59" w:rsidRDefault="001116CC" w:rsidP="000B6A5F">
      <w:pPr>
        <w:spacing w:line="360" w:lineRule="auto"/>
        <w:ind w:left="651" w:hanging="651"/>
        <w:jc w:val="left"/>
        <w:rPr>
          <w:rFonts w:ascii="Tahoma" w:hAnsi="Tahoma" w:cs="Tahoma"/>
          <w:sz w:val="22"/>
          <w:szCs w:val="22"/>
          <w:rtl/>
        </w:rPr>
      </w:pPr>
    </w:p>
    <w:p w:rsidR="00C3464B" w:rsidRPr="00AA7E59" w:rsidRDefault="00C3464B" w:rsidP="00AA7E59">
      <w:pPr>
        <w:spacing w:line="360" w:lineRule="auto"/>
        <w:ind w:left="651" w:hanging="651"/>
        <w:jc w:val="center"/>
        <w:rPr>
          <w:rFonts w:ascii="Tahoma" w:hAnsi="Tahoma" w:cs="Tahoma"/>
          <w:b/>
          <w:bCs/>
          <w:sz w:val="22"/>
          <w:szCs w:val="22"/>
          <w:u w:val="single"/>
          <w:rtl/>
        </w:rPr>
      </w:pPr>
      <w:r w:rsidRPr="00AA7E59">
        <w:rPr>
          <w:rFonts w:ascii="Tahoma" w:hAnsi="Tahoma" w:cs="Tahoma" w:hint="eastAsia"/>
          <w:sz w:val="22"/>
          <w:szCs w:val="22"/>
          <w:rtl/>
        </w:rPr>
        <w:t>הנדון</w:t>
      </w:r>
      <w:r w:rsidRPr="00AA7E59">
        <w:rPr>
          <w:rFonts w:ascii="Tahoma" w:hAnsi="Tahoma" w:cs="Tahoma"/>
          <w:sz w:val="22"/>
          <w:szCs w:val="22"/>
          <w:rtl/>
        </w:rPr>
        <w:t>:</w:t>
      </w:r>
      <w:r w:rsidRPr="00AA7E59">
        <w:rPr>
          <w:rFonts w:ascii="Tahoma" w:hAnsi="Tahoma" w:cs="Tahoma"/>
          <w:b/>
          <w:bCs/>
          <w:sz w:val="22"/>
          <w:szCs w:val="22"/>
          <w:u w:val="single"/>
          <w:rtl/>
        </w:rPr>
        <w:tab/>
      </w:r>
      <w:bookmarkStart w:id="3" w:name="About"/>
      <w:bookmarkEnd w:id="3"/>
      <w:r w:rsidR="001116CC" w:rsidRPr="00AA7E59">
        <w:rPr>
          <w:rFonts w:ascii="Tahoma" w:hAnsi="Tahoma" w:cs="Tahoma" w:hint="eastAsia"/>
          <w:b/>
          <w:bCs/>
          <w:sz w:val="22"/>
          <w:szCs w:val="22"/>
          <w:u w:val="single"/>
          <w:rtl/>
        </w:rPr>
        <w:t>חוות</w:t>
      </w:r>
      <w:r w:rsidR="001116CC" w:rsidRPr="00AA7E59">
        <w:rPr>
          <w:rFonts w:ascii="Tahoma" w:hAnsi="Tahoma" w:cs="Tahoma"/>
          <w:b/>
          <w:bCs/>
          <w:sz w:val="22"/>
          <w:szCs w:val="22"/>
          <w:u w:val="single"/>
          <w:rtl/>
        </w:rPr>
        <w:t xml:space="preserve"> </w:t>
      </w:r>
      <w:r w:rsidR="001116CC" w:rsidRPr="00AA7E59">
        <w:rPr>
          <w:rFonts w:ascii="Tahoma" w:hAnsi="Tahoma" w:cs="Tahoma" w:hint="eastAsia"/>
          <w:b/>
          <w:bCs/>
          <w:sz w:val="22"/>
          <w:szCs w:val="22"/>
          <w:u w:val="single"/>
          <w:rtl/>
        </w:rPr>
        <w:t>דעת</w:t>
      </w:r>
      <w:r w:rsidR="001116CC" w:rsidRPr="00AA7E59">
        <w:rPr>
          <w:rFonts w:ascii="Tahoma" w:hAnsi="Tahoma" w:cs="Tahoma"/>
          <w:b/>
          <w:bCs/>
          <w:sz w:val="22"/>
          <w:szCs w:val="22"/>
          <w:u w:val="single"/>
          <w:rtl/>
        </w:rPr>
        <w:t xml:space="preserve"> </w:t>
      </w:r>
      <w:r w:rsidR="001116CC" w:rsidRPr="00AA7E59">
        <w:rPr>
          <w:rFonts w:ascii="Tahoma" w:hAnsi="Tahoma" w:cs="Tahoma" w:hint="eastAsia"/>
          <w:b/>
          <w:bCs/>
          <w:sz w:val="22"/>
          <w:szCs w:val="22"/>
          <w:u w:val="single"/>
          <w:rtl/>
        </w:rPr>
        <w:t>מקצועית</w:t>
      </w:r>
      <w:r w:rsidR="001116CC" w:rsidRPr="00AA7E59">
        <w:rPr>
          <w:rFonts w:ascii="Tahoma" w:hAnsi="Tahoma" w:cs="Tahoma"/>
          <w:b/>
          <w:bCs/>
          <w:sz w:val="22"/>
          <w:szCs w:val="22"/>
          <w:u w:val="single"/>
          <w:rtl/>
        </w:rPr>
        <w:t xml:space="preserve"> </w:t>
      </w:r>
      <w:r w:rsidR="001116CC" w:rsidRPr="00AA7E59">
        <w:rPr>
          <w:rFonts w:ascii="Tahoma" w:hAnsi="Tahoma" w:cs="Tahoma" w:hint="eastAsia"/>
          <w:b/>
          <w:bCs/>
          <w:sz w:val="22"/>
          <w:szCs w:val="22"/>
          <w:u w:val="single"/>
          <w:rtl/>
        </w:rPr>
        <w:t>בדבר</w:t>
      </w:r>
      <w:r w:rsidR="001116CC" w:rsidRPr="00AA7E59">
        <w:rPr>
          <w:rFonts w:ascii="Tahoma" w:hAnsi="Tahoma" w:cs="Tahoma"/>
          <w:b/>
          <w:bCs/>
          <w:sz w:val="22"/>
          <w:szCs w:val="22"/>
          <w:u w:val="single"/>
          <w:rtl/>
        </w:rPr>
        <w:t xml:space="preserve"> </w:t>
      </w:r>
      <w:r w:rsidR="001116CC" w:rsidRPr="00AA7E59">
        <w:rPr>
          <w:rFonts w:ascii="Tahoma" w:hAnsi="Tahoma" w:cs="Tahoma" w:hint="eastAsia"/>
          <w:b/>
          <w:bCs/>
          <w:sz w:val="22"/>
          <w:szCs w:val="22"/>
          <w:u w:val="single"/>
          <w:rtl/>
        </w:rPr>
        <w:t>ספק</w:t>
      </w:r>
      <w:r w:rsidR="001116CC" w:rsidRPr="00AA7E59">
        <w:rPr>
          <w:rFonts w:ascii="Tahoma" w:hAnsi="Tahoma" w:cs="Tahoma"/>
          <w:b/>
          <w:bCs/>
          <w:sz w:val="22"/>
          <w:szCs w:val="22"/>
          <w:u w:val="single"/>
          <w:rtl/>
        </w:rPr>
        <w:t xml:space="preserve"> </w:t>
      </w:r>
      <w:r w:rsidR="001116CC" w:rsidRPr="00AA7E59">
        <w:rPr>
          <w:rFonts w:ascii="Tahoma" w:hAnsi="Tahoma" w:cs="Tahoma" w:hint="eastAsia"/>
          <w:b/>
          <w:bCs/>
          <w:sz w:val="22"/>
          <w:szCs w:val="22"/>
          <w:u w:val="single"/>
          <w:rtl/>
        </w:rPr>
        <w:t>יחיד</w:t>
      </w:r>
    </w:p>
    <w:p w:rsidR="00C3464B" w:rsidRPr="00AA7E59" w:rsidRDefault="000B6A5F" w:rsidP="000B6A5F">
      <w:pPr>
        <w:spacing w:line="360" w:lineRule="auto"/>
        <w:ind w:left="651"/>
        <w:jc w:val="left"/>
        <w:rPr>
          <w:rFonts w:ascii="Tahoma" w:hAnsi="Tahoma" w:cs="Tahoma"/>
          <w:sz w:val="22"/>
          <w:szCs w:val="22"/>
          <w:rtl/>
        </w:rPr>
      </w:pPr>
      <w:bookmarkStart w:id="4" w:name="reference"/>
      <w:bookmarkEnd w:id="4"/>
      <w:r w:rsidRPr="00AA7E59">
        <w:rPr>
          <w:rFonts w:ascii="Tahoma" w:hAnsi="Tahoma" w:cs="Tahoma"/>
          <w:sz w:val="22"/>
          <w:szCs w:val="22"/>
          <w:rtl/>
        </w:rPr>
        <w:t xml:space="preserve"> </w:t>
      </w:r>
    </w:p>
    <w:p w:rsidR="000775FB" w:rsidRPr="00AA7E59" w:rsidRDefault="000775FB" w:rsidP="00F43C67">
      <w:pPr>
        <w:spacing w:line="360" w:lineRule="auto"/>
        <w:rPr>
          <w:rFonts w:ascii="Tahoma" w:hAnsi="Tahoma" w:cs="Tahoma"/>
          <w:sz w:val="22"/>
          <w:szCs w:val="22"/>
          <w:rtl/>
        </w:rPr>
      </w:pPr>
      <w:bookmarkStart w:id="5" w:name="start"/>
      <w:bookmarkEnd w:id="5"/>
      <w:r w:rsidRPr="00AA7E59">
        <w:rPr>
          <w:rFonts w:ascii="Tahoma" w:hAnsi="Tahoma" w:cs="Tahoma" w:hint="eastAsia"/>
          <w:sz w:val="22"/>
          <w:szCs w:val="22"/>
          <w:rtl/>
        </w:rPr>
        <w:t>ה</w:t>
      </w:r>
      <w:r w:rsidRPr="00AA7E59">
        <w:rPr>
          <w:rFonts w:ascii="Tahoma" w:hAnsi="Tahoma" w:cs="Tahoma"/>
          <w:sz w:val="22"/>
          <w:szCs w:val="22"/>
        </w:rPr>
        <w:t xml:space="preserve">-IOPS </w:t>
      </w:r>
      <w:r w:rsidRPr="00AA7E59">
        <w:rPr>
          <w:rFonts w:ascii="Tahoma" w:hAnsi="Tahoma" w:cs="Tahoma" w:hint="eastAsia"/>
          <w:sz w:val="22"/>
          <w:szCs w:val="22"/>
          <w:rtl/>
        </w:rPr>
        <w:t>הוא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הארגון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הבינלאומי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של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המפקחים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על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קרנות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פנסיה</w:t>
      </w:r>
      <w:r w:rsidRPr="00AA7E59">
        <w:rPr>
          <w:rFonts w:ascii="Tahoma" w:hAnsi="Tahoma" w:cs="Tahoma"/>
          <w:sz w:val="22"/>
          <w:szCs w:val="22"/>
        </w:rPr>
        <w:t xml:space="preserve">. </w:t>
      </w:r>
      <w:r w:rsidRPr="00AA7E59">
        <w:rPr>
          <w:rFonts w:ascii="Tahoma" w:hAnsi="Tahoma" w:cs="Tahoma" w:hint="eastAsia"/>
          <w:sz w:val="22"/>
          <w:szCs w:val="22"/>
          <w:rtl/>
        </w:rPr>
        <w:t>זהו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הארגון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היחיד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בעולם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אשר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מאגד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מפקחים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על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קרנות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פנסיה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מעשרות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מדינות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ארגון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זה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משמש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זירה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להחלפת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מידע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בכל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הקשר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לחיסכון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לטווח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ארוך</w:t>
      </w:r>
      <w:r w:rsidRPr="00AA7E59">
        <w:rPr>
          <w:rFonts w:ascii="Tahoma" w:hAnsi="Tahoma" w:cs="Tahoma"/>
          <w:sz w:val="22"/>
          <w:szCs w:val="22"/>
        </w:rPr>
        <w:t xml:space="preserve"> - </w:t>
      </w:r>
      <w:r w:rsidRPr="00AA7E59">
        <w:rPr>
          <w:rFonts w:ascii="Tahoma" w:hAnsi="Tahoma" w:cs="Tahoma" w:hint="eastAsia"/>
          <w:sz w:val="22"/>
          <w:szCs w:val="22"/>
          <w:rtl/>
        </w:rPr>
        <w:t>נושא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שזוכה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בשנים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האחרונות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לחשיבות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גדלה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והולכת</w:t>
      </w:r>
      <w:r w:rsidRPr="00AA7E59">
        <w:rPr>
          <w:rFonts w:ascii="Tahoma" w:hAnsi="Tahoma" w:cs="Tahoma"/>
          <w:sz w:val="22"/>
          <w:szCs w:val="22"/>
        </w:rPr>
        <w:t xml:space="preserve">, </w:t>
      </w:r>
      <w:r w:rsidRPr="00AA7E59">
        <w:rPr>
          <w:rFonts w:ascii="Tahoma" w:hAnsi="Tahoma" w:cs="Tahoma" w:hint="eastAsia"/>
          <w:sz w:val="22"/>
          <w:szCs w:val="22"/>
          <w:rtl/>
        </w:rPr>
        <w:t>בעיקר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לנוכח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תהליכי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ההזדקנות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של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האוכלוסייה</w:t>
      </w:r>
      <w:r w:rsidRPr="00AA7E59">
        <w:rPr>
          <w:rFonts w:ascii="Tahoma" w:hAnsi="Tahoma" w:cs="Tahoma"/>
          <w:sz w:val="22"/>
          <w:szCs w:val="22"/>
        </w:rPr>
        <w:t xml:space="preserve">. </w:t>
      </w:r>
      <w:r w:rsidRPr="00AA7E59">
        <w:rPr>
          <w:rFonts w:ascii="Tahoma" w:hAnsi="Tahoma" w:cs="Tahoma" w:hint="eastAsia"/>
          <w:sz w:val="22"/>
          <w:szCs w:val="22"/>
          <w:rtl/>
        </w:rPr>
        <w:t>בנושא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מפרסם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הארגון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קווים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מנחים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לפיקוח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על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קרנות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פנסיה</w:t>
      </w:r>
      <w:r w:rsidRPr="00AA7E59">
        <w:rPr>
          <w:rFonts w:ascii="Tahoma" w:hAnsi="Tahoma" w:cs="Tahoma"/>
          <w:sz w:val="22"/>
          <w:szCs w:val="22"/>
        </w:rPr>
        <w:t xml:space="preserve">. </w:t>
      </w:r>
      <w:r w:rsidRPr="00AA7E59">
        <w:rPr>
          <w:rFonts w:ascii="Tahoma" w:hAnsi="Tahoma" w:cs="Tahoma" w:hint="eastAsia"/>
          <w:sz w:val="22"/>
          <w:szCs w:val="22"/>
          <w:rtl/>
        </w:rPr>
        <w:t>קווים</w:t>
      </w:r>
      <w:r w:rsidR="00C21649" w:rsidRPr="00AA7E59">
        <w:rPr>
          <w:rFonts w:ascii="Tahoma" w:hAnsi="Tahoma" w:cs="Tahoma"/>
          <w:sz w:val="22"/>
          <w:szCs w:val="22"/>
          <w:rtl/>
        </w:rPr>
        <w:t xml:space="preserve"> </w:t>
      </w:r>
      <w:r w:rsidR="00C21649" w:rsidRPr="00AA7E59">
        <w:rPr>
          <w:rFonts w:ascii="Tahoma" w:hAnsi="Tahoma" w:cs="Tahoma" w:hint="eastAsia"/>
          <w:sz w:val="22"/>
          <w:szCs w:val="22"/>
          <w:rtl/>
        </w:rPr>
        <w:t>מנחים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="00C21649" w:rsidRPr="00AA7E59">
        <w:rPr>
          <w:rFonts w:ascii="Tahoma" w:hAnsi="Tahoma" w:cs="Tahoma" w:hint="eastAsia"/>
          <w:sz w:val="22"/>
          <w:szCs w:val="22"/>
          <w:rtl/>
        </w:rPr>
        <w:t>אלו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משמשים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proofErr w:type="spellStart"/>
      <w:r w:rsidRPr="00AA7E59">
        <w:rPr>
          <w:rFonts w:ascii="Tahoma" w:hAnsi="Tahoma" w:cs="Tahoma" w:hint="eastAsia"/>
          <w:sz w:val="22"/>
          <w:szCs w:val="22"/>
          <w:rtl/>
        </w:rPr>
        <w:t>בנצ</w:t>
      </w:r>
      <w:proofErr w:type="spellEnd"/>
      <w:r w:rsidRPr="00AA7E59">
        <w:rPr>
          <w:rFonts w:ascii="Tahoma" w:hAnsi="Tahoma" w:cs="Tahoma"/>
          <w:sz w:val="22"/>
          <w:szCs w:val="22"/>
        </w:rPr>
        <w:t>'</w:t>
      </w:r>
      <w:r w:rsidRPr="00AA7E59">
        <w:rPr>
          <w:rFonts w:ascii="Tahoma" w:hAnsi="Tahoma" w:cs="Tahoma" w:hint="eastAsia"/>
          <w:sz w:val="22"/>
          <w:szCs w:val="22"/>
          <w:rtl/>
        </w:rPr>
        <w:t>מרק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המסייע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לאגף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proofErr w:type="spellStart"/>
      <w:r w:rsidRPr="00AA7E59">
        <w:rPr>
          <w:rFonts w:ascii="Tahoma" w:hAnsi="Tahoma" w:cs="Tahoma" w:hint="eastAsia"/>
          <w:sz w:val="22"/>
          <w:szCs w:val="22"/>
          <w:rtl/>
        </w:rPr>
        <w:t>בהתווית</w:t>
      </w:r>
      <w:proofErr w:type="spellEnd"/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מדיניות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הפיקוח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על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החיסכון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הפנסיוני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בישראל</w:t>
      </w:r>
      <w:r w:rsidRPr="00AA7E59">
        <w:rPr>
          <w:rFonts w:ascii="Tahoma" w:hAnsi="Tahoma" w:cs="Tahoma"/>
          <w:sz w:val="22"/>
          <w:szCs w:val="22"/>
        </w:rPr>
        <w:t xml:space="preserve">. </w:t>
      </w:r>
    </w:p>
    <w:p w:rsidR="000B6A5F" w:rsidRPr="00AA7E59" w:rsidRDefault="000B6A5F" w:rsidP="000B6A5F">
      <w:pPr>
        <w:spacing w:line="360" w:lineRule="auto"/>
        <w:rPr>
          <w:rFonts w:ascii="Tahoma" w:hAnsi="Tahoma" w:cs="Tahoma"/>
          <w:sz w:val="22"/>
          <w:szCs w:val="22"/>
        </w:rPr>
      </w:pPr>
    </w:p>
    <w:p w:rsidR="00F43C67" w:rsidRPr="00AA7E59" w:rsidRDefault="00F43C67" w:rsidP="00AA7E59">
      <w:pPr>
        <w:spacing w:line="360" w:lineRule="auto"/>
        <w:rPr>
          <w:rFonts w:ascii="Tahoma" w:hAnsi="Tahoma" w:cs="Tahoma"/>
          <w:sz w:val="22"/>
          <w:szCs w:val="22"/>
        </w:rPr>
      </w:pPr>
      <w:r w:rsidRPr="00AA7E59">
        <w:rPr>
          <w:rFonts w:ascii="Tahoma" w:hAnsi="Tahoma" w:cs="Tahoma" w:hint="eastAsia"/>
          <w:sz w:val="22"/>
          <w:szCs w:val="22"/>
          <w:rtl/>
        </w:rPr>
        <w:t>ישראל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חברה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ב</w:t>
      </w:r>
      <w:r w:rsidRPr="00AA7E59">
        <w:rPr>
          <w:rFonts w:ascii="Tahoma" w:hAnsi="Tahoma" w:cs="Tahoma"/>
          <w:sz w:val="22"/>
          <w:szCs w:val="22"/>
        </w:rPr>
        <w:t xml:space="preserve">-IOPS </w:t>
      </w:r>
      <w:r w:rsidRPr="00AA7E59">
        <w:rPr>
          <w:rFonts w:ascii="Tahoma" w:hAnsi="Tahoma" w:cs="Tahoma" w:hint="eastAsia"/>
          <w:sz w:val="22"/>
          <w:szCs w:val="22"/>
          <w:rtl/>
        </w:rPr>
        <w:t>זה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מספר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שנים</w:t>
      </w:r>
      <w:r w:rsidRPr="00AA7E59">
        <w:rPr>
          <w:rFonts w:ascii="Tahoma" w:hAnsi="Tahoma" w:cs="Tahoma"/>
          <w:sz w:val="22"/>
          <w:szCs w:val="22"/>
        </w:rPr>
        <w:t xml:space="preserve">, </w:t>
      </w:r>
      <w:r w:rsidRPr="00AA7E59">
        <w:rPr>
          <w:rFonts w:ascii="Tahoma" w:hAnsi="Tahoma" w:cs="Tahoma" w:hint="eastAsia"/>
          <w:sz w:val="22"/>
          <w:szCs w:val="22"/>
          <w:rtl/>
        </w:rPr>
        <w:t>במסגרת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החברות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בארגון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ישראל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משתתפת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בסקרים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שמבצע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הארגון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בנושאים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שונים</w:t>
      </w:r>
      <w:r w:rsidRPr="00AA7E59">
        <w:rPr>
          <w:rFonts w:ascii="Tahoma" w:hAnsi="Tahoma" w:cs="Tahoma"/>
          <w:sz w:val="22"/>
          <w:szCs w:val="22"/>
        </w:rPr>
        <w:t xml:space="preserve"> (</w:t>
      </w:r>
      <w:r w:rsidRPr="00AA7E59">
        <w:rPr>
          <w:rFonts w:ascii="Tahoma" w:hAnsi="Tahoma" w:cs="Tahoma" w:hint="eastAsia"/>
          <w:sz w:val="22"/>
          <w:szCs w:val="22"/>
          <w:rtl/>
        </w:rPr>
        <w:t>לדוגמא</w:t>
      </w:r>
      <w:r w:rsidRPr="00AA7E59">
        <w:rPr>
          <w:rFonts w:ascii="Tahoma" w:hAnsi="Tahoma" w:cs="Tahoma"/>
          <w:sz w:val="22"/>
          <w:szCs w:val="22"/>
        </w:rPr>
        <w:t xml:space="preserve">, </w:t>
      </w:r>
      <w:r w:rsidRPr="00AA7E59">
        <w:rPr>
          <w:rFonts w:ascii="Tahoma" w:hAnsi="Tahoma" w:cs="Tahoma" w:hint="eastAsia"/>
          <w:sz w:val="22"/>
          <w:szCs w:val="22"/>
          <w:rtl/>
        </w:rPr>
        <w:t>תיווך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פיננסי</w:t>
      </w:r>
      <w:r w:rsidRPr="00AA7E59">
        <w:rPr>
          <w:rFonts w:ascii="Tahoma" w:hAnsi="Tahoma" w:cs="Tahoma"/>
          <w:sz w:val="22"/>
          <w:szCs w:val="22"/>
        </w:rPr>
        <w:t xml:space="preserve">, </w:t>
      </w:r>
      <w:r w:rsidRPr="00AA7E59">
        <w:rPr>
          <w:rFonts w:ascii="Tahoma" w:hAnsi="Tahoma" w:cs="Tahoma" w:hint="eastAsia"/>
          <w:sz w:val="22"/>
          <w:szCs w:val="22"/>
          <w:rtl/>
        </w:rPr>
        <w:t>מבנה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רשויות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פיקוח</w:t>
      </w:r>
      <w:r w:rsidRPr="00AA7E59">
        <w:rPr>
          <w:rFonts w:ascii="Tahoma" w:hAnsi="Tahoma" w:cs="Tahoma"/>
          <w:sz w:val="22"/>
          <w:szCs w:val="22"/>
        </w:rPr>
        <w:t xml:space="preserve">, </w:t>
      </w:r>
      <w:r w:rsidRPr="00AA7E59">
        <w:rPr>
          <w:rFonts w:ascii="Tahoma" w:hAnsi="Tahoma" w:cs="Tahoma" w:hint="eastAsia"/>
          <w:sz w:val="22"/>
          <w:szCs w:val="22"/>
          <w:rtl/>
        </w:rPr>
        <w:t>מבנה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עמלות</w:t>
      </w:r>
      <w:r w:rsidRPr="00AA7E59">
        <w:rPr>
          <w:rFonts w:ascii="Tahoma" w:hAnsi="Tahoma" w:cs="Tahoma"/>
          <w:sz w:val="22"/>
          <w:szCs w:val="22"/>
        </w:rPr>
        <w:t xml:space="preserve"> </w:t>
      </w:r>
      <w:proofErr w:type="spellStart"/>
      <w:r w:rsidRPr="00AA7E59">
        <w:rPr>
          <w:rFonts w:ascii="Tahoma" w:hAnsi="Tahoma" w:cs="Tahoma" w:hint="eastAsia"/>
          <w:sz w:val="22"/>
          <w:szCs w:val="22"/>
          <w:rtl/>
        </w:rPr>
        <w:t>וכו</w:t>
      </w:r>
      <w:proofErr w:type="spellEnd"/>
      <w:r w:rsidRPr="00AA7E59">
        <w:rPr>
          <w:rFonts w:ascii="Tahoma" w:hAnsi="Tahoma" w:cs="Tahoma"/>
          <w:sz w:val="22"/>
          <w:szCs w:val="22"/>
          <w:rtl/>
        </w:rPr>
        <w:t>'.</w:t>
      </w:r>
      <w:r w:rsidRPr="00AA7E59">
        <w:rPr>
          <w:rFonts w:ascii="Tahoma" w:hAnsi="Tahoma" w:cs="Tahoma"/>
          <w:sz w:val="22"/>
          <w:szCs w:val="22"/>
        </w:rPr>
        <w:t xml:space="preserve"> </w:t>
      </w:r>
    </w:p>
    <w:p w:rsidR="00F43C67" w:rsidRPr="00AA7E59" w:rsidRDefault="00F43C67" w:rsidP="00F43C67">
      <w:pPr>
        <w:spacing w:line="360" w:lineRule="auto"/>
        <w:rPr>
          <w:rFonts w:ascii="Tahoma" w:hAnsi="Tahoma" w:cs="Tahoma"/>
          <w:sz w:val="22"/>
          <w:szCs w:val="22"/>
          <w:rtl/>
        </w:rPr>
      </w:pPr>
    </w:p>
    <w:p w:rsidR="00F43C67" w:rsidRPr="00AA7E59" w:rsidRDefault="00F43C67" w:rsidP="00F43C67">
      <w:pPr>
        <w:spacing w:line="360" w:lineRule="auto"/>
        <w:rPr>
          <w:rFonts w:ascii="Tahoma" w:hAnsi="Tahoma" w:cs="Tahoma"/>
          <w:sz w:val="22"/>
          <w:szCs w:val="22"/>
          <w:rtl/>
        </w:rPr>
      </w:pPr>
      <w:r w:rsidRPr="00AA7E59">
        <w:rPr>
          <w:rFonts w:ascii="Tahoma" w:hAnsi="Tahoma" w:cs="Tahoma" w:hint="eastAsia"/>
          <w:sz w:val="22"/>
          <w:szCs w:val="22"/>
          <w:rtl/>
        </w:rPr>
        <w:t>אנו</w:t>
      </w:r>
      <w:r w:rsidRPr="00AA7E59">
        <w:rPr>
          <w:rFonts w:ascii="Tahoma" w:hAnsi="Tahoma" w:cs="Tahoma"/>
          <w:sz w:val="22"/>
          <w:szCs w:val="22"/>
          <w:rtl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מבקשים</w:t>
      </w:r>
      <w:r w:rsidRPr="00AA7E59">
        <w:rPr>
          <w:rFonts w:ascii="Tahoma" w:hAnsi="Tahoma" w:cs="Tahoma"/>
          <w:sz w:val="22"/>
          <w:szCs w:val="22"/>
          <w:rtl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אישור</w:t>
      </w:r>
      <w:r w:rsidRPr="00AA7E59">
        <w:rPr>
          <w:rFonts w:ascii="Tahoma" w:hAnsi="Tahoma" w:cs="Tahoma"/>
          <w:sz w:val="22"/>
          <w:szCs w:val="22"/>
          <w:rtl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שלוש</w:t>
      </w:r>
      <w:r w:rsidRPr="00AA7E59">
        <w:rPr>
          <w:rFonts w:ascii="Tahoma" w:hAnsi="Tahoma" w:cs="Tahoma"/>
          <w:sz w:val="22"/>
          <w:szCs w:val="22"/>
          <w:rtl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שנים</w:t>
      </w:r>
      <w:r w:rsidRPr="00AA7E59">
        <w:rPr>
          <w:rFonts w:ascii="Tahoma" w:hAnsi="Tahoma" w:cs="Tahoma"/>
          <w:sz w:val="22"/>
          <w:szCs w:val="22"/>
          <w:rtl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לתשלום</w:t>
      </w:r>
      <w:r w:rsidRPr="00AA7E59">
        <w:rPr>
          <w:rFonts w:ascii="Tahoma" w:hAnsi="Tahoma" w:cs="Tahoma"/>
          <w:sz w:val="22"/>
          <w:szCs w:val="22"/>
          <w:rtl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דמי</w:t>
      </w:r>
      <w:r w:rsidRPr="00AA7E59">
        <w:rPr>
          <w:rFonts w:ascii="Tahoma" w:hAnsi="Tahoma" w:cs="Tahoma"/>
          <w:sz w:val="22"/>
          <w:szCs w:val="22"/>
          <w:rtl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חבר</w:t>
      </w:r>
      <w:r w:rsidRPr="00AA7E59">
        <w:rPr>
          <w:rFonts w:ascii="Tahoma" w:hAnsi="Tahoma" w:cs="Tahoma"/>
          <w:sz w:val="22"/>
          <w:szCs w:val="22"/>
          <w:rtl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לארגון</w:t>
      </w:r>
      <w:r w:rsidRPr="00AA7E59">
        <w:rPr>
          <w:rFonts w:ascii="Tahoma" w:hAnsi="Tahoma" w:cs="Tahoma"/>
          <w:sz w:val="22"/>
          <w:szCs w:val="22"/>
          <w:rtl/>
        </w:rPr>
        <w:t xml:space="preserve"> – </w:t>
      </w:r>
      <w:r w:rsidRPr="00AA7E59">
        <w:rPr>
          <w:rFonts w:ascii="Tahoma" w:hAnsi="Tahoma" w:cs="Tahoma" w:hint="eastAsia"/>
          <w:sz w:val="22"/>
          <w:szCs w:val="22"/>
          <w:rtl/>
        </w:rPr>
        <w:t>בסך</w:t>
      </w:r>
      <w:r w:rsidRPr="00AA7E59">
        <w:rPr>
          <w:rFonts w:ascii="Tahoma" w:hAnsi="Tahoma" w:cs="Tahoma"/>
          <w:sz w:val="22"/>
          <w:szCs w:val="22"/>
          <w:rtl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כולל</w:t>
      </w:r>
      <w:r w:rsidRPr="00AA7E59">
        <w:rPr>
          <w:rFonts w:ascii="Tahoma" w:hAnsi="Tahoma" w:cs="Tahoma"/>
          <w:sz w:val="22"/>
          <w:szCs w:val="22"/>
          <w:rtl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של</w:t>
      </w:r>
      <w:r w:rsidRPr="00AA7E59">
        <w:rPr>
          <w:rFonts w:ascii="Tahoma" w:hAnsi="Tahoma" w:cs="Tahoma"/>
          <w:sz w:val="22"/>
          <w:szCs w:val="22"/>
          <w:rtl/>
        </w:rPr>
        <w:t xml:space="preserve"> 25,000 </w:t>
      </w:r>
      <w:r w:rsidRPr="00AA7E59">
        <w:rPr>
          <w:rFonts w:ascii="Tahoma" w:hAnsi="Tahoma" w:cs="Tahoma" w:hint="eastAsia"/>
          <w:sz w:val="22"/>
          <w:szCs w:val="22"/>
          <w:rtl/>
        </w:rPr>
        <w:t>אירו</w:t>
      </w:r>
      <w:r w:rsidRPr="00AA7E59">
        <w:rPr>
          <w:rFonts w:ascii="Tahoma" w:hAnsi="Tahoma" w:cs="Tahoma"/>
          <w:sz w:val="22"/>
          <w:szCs w:val="22"/>
          <w:rtl/>
        </w:rPr>
        <w:t xml:space="preserve">. </w:t>
      </w:r>
      <w:r w:rsidRPr="00AA7E59">
        <w:rPr>
          <w:rFonts w:ascii="Tahoma" w:hAnsi="Tahoma" w:cs="Tahoma" w:hint="eastAsia"/>
          <w:sz w:val="22"/>
          <w:szCs w:val="22"/>
          <w:rtl/>
        </w:rPr>
        <w:t>נוכח</w:t>
      </w:r>
      <w:r w:rsidRPr="00AA7E59">
        <w:rPr>
          <w:rFonts w:ascii="Tahoma" w:hAnsi="Tahoma" w:cs="Tahoma"/>
          <w:sz w:val="22"/>
          <w:szCs w:val="22"/>
          <w:rtl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האמור</w:t>
      </w:r>
      <w:r w:rsidRPr="00AA7E59">
        <w:rPr>
          <w:rFonts w:ascii="Tahoma" w:hAnsi="Tahoma" w:cs="Tahoma"/>
          <w:sz w:val="22"/>
          <w:szCs w:val="22"/>
          <w:rtl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לעיל</w:t>
      </w:r>
      <w:r w:rsidRPr="00AA7E59">
        <w:rPr>
          <w:rFonts w:ascii="Tahoma" w:hAnsi="Tahoma" w:cs="Tahoma"/>
          <w:sz w:val="22"/>
          <w:szCs w:val="22"/>
          <w:rtl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אנו</w:t>
      </w:r>
      <w:r w:rsidRPr="00AA7E59">
        <w:rPr>
          <w:rFonts w:ascii="Tahoma" w:hAnsi="Tahoma" w:cs="Tahoma"/>
          <w:sz w:val="22"/>
          <w:szCs w:val="22"/>
          <w:rtl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מבקשים</w:t>
      </w:r>
      <w:r w:rsidRPr="00AA7E59">
        <w:rPr>
          <w:rFonts w:ascii="Tahoma" w:hAnsi="Tahoma" w:cs="Tahoma"/>
          <w:sz w:val="22"/>
          <w:szCs w:val="22"/>
          <w:rtl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להגדיר</w:t>
      </w:r>
      <w:r w:rsidRPr="00AA7E59">
        <w:rPr>
          <w:rFonts w:ascii="Tahoma" w:hAnsi="Tahoma" w:cs="Tahoma"/>
          <w:sz w:val="22"/>
          <w:szCs w:val="22"/>
          <w:rtl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את</w:t>
      </w:r>
      <w:r w:rsidRPr="00AA7E59">
        <w:rPr>
          <w:rFonts w:ascii="Tahoma" w:hAnsi="Tahoma" w:cs="Tahoma"/>
          <w:sz w:val="22"/>
          <w:szCs w:val="22"/>
          <w:rtl/>
        </w:rPr>
        <w:t xml:space="preserve"> </w:t>
      </w:r>
      <w:r w:rsidRPr="00AA7E59">
        <w:rPr>
          <w:rFonts w:ascii="Tahoma" w:hAnsi="Tahoma" w:cs="Tahoma"/>
          <w:sz w:val="22"/>
          <w:szCs w:val="22"/>
        </w:rPr>
        <w:t>IOPS</w:t>
      </w:r>
      <w:r w:rsidRPr="00AA7E59">
        <w:rPr>
          <w:rFonts w:ascii="Tahoma" w:hAnsi="Tahoma" w:cs="Tahoma"/>
          <w:sz w:val="22"/>
          <w:szCs w:val="22"/>
          <w:rtl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כארגון</w:t>
      </w:r>
      <w:r w:rsidRPr="00AA7E59">
        <w:rPr>
          <w:rFonts w:ascii="Tahoma" w:hAnsi="Tahoma" w:cs="Tahoma"/>
          <w:sz w:val="22"/>
          <w:szCs w:val="22"/>
          <w:rtl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בינלאומי</w:t>
      </w:r>
      <w:r w:rsidRPr="00AA7E59">
        <w:rPr>
          <w:rFonts w:ascii="Tahoma" w:hAnsi="Tahoma" w:cs="Tahoma"/>
          <w:sz w:val="22"/>
          <w:szCs w:val="22"/>
          <w:rtl/>
        </w:rPr>
        <w:t xml:space="preserve">, </w:t>
      </w:r>
      <w:r w:rsidRPr="00AA7E59">
        <w:rPr>
          <w:rFonts w:ascii="Tahoma" w:hAnsi="Tahoma" w:cs="Tahoma" w:hint="eastAsia"/>
          <w:sz w:val="22"/>
          <w:szCs w:val="22"/>
          <w:rtl/>
        </w:rPr>
        <w:t>כספק</w:t>
      </w:r>
      <w:r w:rsidRPr="00AA7E59">
        <w:rPr>
          <w:rFonts w:ascii="Tahoma" w:hAnsi="Tahoma" w:cs="Tahoma"/>
          <w:sz w:val="22"/>
          <w:szCs w:val="22"/>
          <w:rtl/>
        </w:rPr>
        <w:t xml:space="preserve"> </w:t>
      </w:r>
      <w:r w:rsidRPr="00AA7E59">
        <w:rPr>
          <w:rFonts w:ascii="Tahoma" w:hAnsi="Tahoma" w:cs="Tahoma" w:hint="eastAsia"/>
          <w:sz w:val="22"/>
          <w:szCs w:val="22"/>
          <w:rtl/>
        </w:rPr>
        <w:t>יחיד</w:t>
      </w:r>
      <w:r w:rsidRPr="00AA7E59">
        <w:rPr>
          <w:rFonts w:ascii="Tahoma" w:hAnsi="Tahoma" w:cs="Tahoma"/>
          <w:sz w:val="22"/>
          <w:szCs w:val="22"/>
          <w:rtl/>
        </w:rPr>
        <w:t>.</w:t>
      </w:r>
    </w:p>
    <w:p w:rsidR="00F975CB" w:rsidRDefault="00C21649" w:rsidP="000B6A5F">
      <w:pPr>
        <w:spacing w:line="360" w:lineRule="auto"/>
        <w:rPr>
          <w:rtl/>
        </w:rPr>
      </w:pPr>
      <w:r>
        <w:rPr>
          <w:rFonts w:hint="cs"/>
          <w:rtl/>
        </w:rPr>
        <w:t>.</w:t>
      </w:r>
    </w:p>
    <w:p w:rsidR="00C21649" w:rsidRDefault="00F43C67" w:rsidP="000B6A5F">
      <w:pPr>
        <w:spacing w:line="360" w:lineRule="auto"/>
        <w:rPr>
          <w:rtl/>
        </w:rPr>
      </w:pPr>
      <w:r>
        <w:rPr>
          <w:rFonts w:hint="cs"/>
          <w:rtl/>
        </w:rPr>
        <w:t xml:space="preserve"> </w:t>
      </w:r>
    </w:p>
    <w:p w:rsidR="00F43C67" w:rsidRDefault="00F43C67" w:rsidP="000B6A5F">
      <w:pPr>
        <w:spacing w:line="360" w:lineRule="auto"/>
        <w:rPr>
          <w:rtl/>
        </w:rPr>
      </w:pPr>
    </w:p>
    <w:p w:rsidR="00F43C67" w:rsidRDefault="00F43C67" w:rsidP="000B6A5F">
      <w:pPr>
        <w:spacing w:line="360" w:lineRule="auto"/>
        <w:rPr>
          <w:rtl/>
        </w:rPr>
      </w:pPr>
      <w:r>
        <w:rPr>
          <w:rFonts w:hint="cs"/>
          <w:rtl/>
        </w:rPr>
        <w:t xml:space="preserve">                                                                                                                   בברכה,</w:t>
      </w:r>
    </w:p>
    <w:p w:rsidR="00F43C67" w:rsidRDefault="00F43C67" w:rsidP="000B6A5F">
      <w:pPr>
        <w:spacing w:line="360" w:lineRule="auto"/>
        <w:rPr>
          <w:rtl/>
        </w:rPr>
      </w:pPr>
      <w:r>
        <w:rPr>
          <w:rFonts w:hint="cs"/>
          <w:rtl/>
        </w:rPr>
        <w:t xml:space="preserve">                                                                                   </w:t>
      </w:r>
      <w:r w:rsidR="0008496E">
        <w:rPr>
          <w:rFonts w:hint="cs"/>
          <w:rtl/>
        </w:rPr>
        <w:t xml:space="preserve">                </w:t>
      </w:r>
      <w:r>
        <w:rPr>
          <w:rFonts w:hint="cs"/>
          <w:rtl/>
        </w:rPr>
        <w:t>אגף שוק ההון, בטחון וחסכון</w:t>
      </w:r>
    </w:p>
    <w:p w:rsidR="00C21649" w:rsidRPr="00C3464B" w:rsidRDefault="00C21649" w:rsidP="000B6A5F">
      <w:pPr>
        <w:spacing w:line="360" w:lineRule="auto"/>
      </w:pPr>
    </w:p>
    <w:sectPr w:rsidR="00C21649" w:rsidRPr="00C3464B" w:rsidSect="004D68D2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440" w:right="1797" w:bottom="1440" w:left="1797" w:header="142" w:footer="414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4B56" w:rsidRDefault="00AE4B56">
      <w:r>
        <w:separator/>
      </w:r>
    </w:p>
  </w:endnote>
  <w:endnote w:type="continuationSeparator" w:id="0">
    <w:p w:rsidR="00AE4B56" w:rsidRDefault="00AE4B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2904" w:rsidRPr="00672400" w:rsidRDefault="00C3464B" w:rsidP="00667A57">
    <w:pPr>
      <w:pBdr>
        <w:top w:val="single" w:sz="4" w:space="1" w:color="auto"/>
      </w:pBdr>
      <w:tabs>
        <w:tab w:val="center" w:pos="4059"/>
        <w:tab w:val="right" w:pos="8313"/>
      </w:tabs>
      <w:rPr>
        <w:rStyle w:val="Hyperlink"/>
        <w:rFonts w:cs="Times New Roman"/>
        <w:b/>
        <w:bCs/>
        <w:sz w:val="24"/>
        <w:rtl/>
      </w:rPr>
    </w:pPr>
    <w:r w:rsidRPr="00672400">
      <w:rPr>
        <w:rFonts w:hint="cs"/>
        <w:b/>
        <w:bCs/>
        <w:sz w:val="24"/>
        <w:rtl/>
      </w:rPr>
      <w:t xml:space="preserve">רח' קפלן 1 ירושלים </w:t>
    </w:r>
    <w:r w:rsidRPr="00667A57">
      <w:rPr>
        <w:rFonts w:hint="cs"/>
        <w:b/>
        <w:bCs/>
        <w:sz w:val="24"/>
        <w:rtl/>
      </w:rPr>
      <w:t>31036</w:t>
    </w:r>
    <w:r w:rsidRPr="00672400">
      <w:rPr>
        <w:rFonts w:hint="cs"/>
        <w:b/>
        <w:bCs/>
        <w:sz w:val="24"/>
        <w:rtl/>
      </w:rPr>
      <w:t xml:space="preserve"> ת.ד 3100 טל': 02-5317111 פקס': 02-5695342</w:t>
    </w:r>
    <w:r w:rsidRPr="00672400">
      <w:rPr>
        <w:rFonts w:hint="cs"/>
        <w:b/>
        <w:bCs/>
        <w:sz w:val="24"/>
        <w:rtl/>
      </w:rPr>
      <w:br/>
      <w:t xml:space="preserve">אוצר ברשת : </w:t>
    </w:r>
    <w:hyperlink r:id="rId1" w:history="1">
      <w:r w:rsidRPr="00672400">
        <w:rPr>
          <w:rStyle w:val="Hyperlink"/>
          <w:rFonts w:cs="Times New Roman"/>
          <w:b/>
          <w:bCs/>
          <w:sz w:val="24"/>
        </w:rPr>
        <w:t>www.mof.gov.il</w:t>
      </w:r>
    </w:hyperlink>
    <w:r w:rsidRPr="00672400">
      <w:rPr>
        <w:rFonts w:hint="cs"/>
        <w:b/>
        <w:bCs/>
        <w:sz w:val="24"/>
        <w:rtl/>
      </w:rPr>
      <w:tab/>
    </w:r>
    <w:r>
      <w:rPr>
        <w:b/>
        <w:bCs/>
        <w:noProof/>
        <w:rtl/>
        <w:lang w:eastAsia="en-US"/>
      </w:rPr>
      <w:drawing>
        <wp:inline distT="0" distB="0" distL="0" distR="0" wp14:anchorId="2E1D019C" wp14:editId="29D38920">
          <wp:extent cx="444500" cy="283210"/>
          <wp:effectExtent l="0" t="0" r="0" b="254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672400">
      <w:rPr>
        <w:rFonts w:hint="cs"/>
        <w:b/>
        <w:bCs/>
        <w:rtl/>
      </w:rPr>
      <w:tab/>
    </w:r>
    <w:r w:rsidRPr="00672400">
      <w:rPr>
        <w:rFonts w:hint="cs"/>
        <w:b/>
        <w:bCs/>
        <w:sz w:val="24"/>
        <w:rtl/>
      </w:rPr>
      <w:t>שער הממשלה :</w:t>
    </w:r>
    <w:r w:rsidRPr="00672400">
      <w:rPr>
        <w:rStyle w:val="Hyperlink"/>
        <w:rFonts w:cs="Times New Roman"/>
        <w:b/>
        <w:bCs/>
        <w:sz w:val="24"/>
        <w:rtl/>
      </w:rPr>
      <w:t xml:space="preserve"> </w:t>
    </w:r>
    <w:hyperlink r:id="rId3" w:history="1">
      <w:r w:rsidRPr="00672400">
        <w:rPr>
          <w:rStyle w:val="Hyperlink"/>
          <w:rFonts w:cs="Times New Roman"/>
          <w:b/>
          <w:bCs/>
          <w:sz w:val="24"/>
        </w:rPr>
        <w:t>www.gov.il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4FFD" w:rsidRDefault="00C3464B" w:rsidP="00667A57">
    <w:pPr>
      <w:pStyle w:val="aa"/>
      <w:pBdr>
        <w:top w:val="single" w:sz="6" w:space="1" w:color="auto"/>
      </w:pBdr>
      <w:tabs>
        <w:tab w:val="clear" w:pos="8640"/>
        <w:tab w:val="right" w:pos="8313"/>
      </w:tabs>
      <w:spacing w:line="240" w:lineRule="auto"/>
    </w:pPr>
    <w:r>
      <w:rPr>
        <w:rFonts w:hint="cs"/>
        <w:sz w:val="24"/>
        <w:rtl/>
      </w:rPr>
      <w:t>רח' קפלן 1 ירושלים 31036 ת.ד 3100 טל': 02-5317111 פקס': 02-5695342</w:t>
    </w:r>
    <w:r>
      <w:rPr>
        <w:sz w:val="24"/>
        <w:rtl/>
      </w:rPr>
      <w:br/>
      <w:t xml:space="preserve">אוצר ברשת : </w:t>
    </w:r>
    <w:r w:rsidRPr="00C9799A">
      <w:rPr>
        <w:sz w:val="24"/>
        <w:u w:val="single"/>
      </w:rPr>
      <w:t>www.mof.gov.il</w:t>
    </w:r>
    <w:r>
      <w:rPr>
        <w:rFonts w:hint="cs"/>
        <w:sz w:val="24"/>
        <w:rtl/>
      </w:rPr>
      <w:tab/>
    </w:r>
    <w:r>
      <w:rPr>
        <w:rFonts w:hint="cs"/>
        <w:noProof/>
        <w:sz w:val="24"/>
        <w:rtl/>
        <w:lang w:eastAsia="en-US"/>
      </w:rPr>
      <w:drawing>
        <wp:inline distT="0" distB="0" distL="0" distR="0" wp14:anchorId="016A623B" wp14:editId="69472ECC">
          <wp:extent cx="444500" cy="283210"/>
          <wp:effectExtent l="0" t="0" r="0" b="254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sz w:val="24"/>
        <w:rtl/>
      </w:rPr>
      <w:tab/>
      <w:t xml:space="preserve">שער הממשלה : </w:t>
    </w:r>
    <w:r w:rsidRPr="00C9799A">
      <w:rPr>
        <w:sz w:val="24"/>
        <w:u w:val="single"/>
      </w:rPr>
      <w:t>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4B56" w:rsidRDefault="00AE4B56">
      <w:r>
        <w:separator/>
      </w:r>
    </w:p>
  </w:footnote>
  <w:footnote w:type="continuationSeparator" w:id="0">
    <w:p w:rsidR="00AE4B56" w:rsidRDefault="00AE4B5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4FFD" w:rsidRDefault="00C3464B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624FFD" w:rsidRDefault="00AE4B56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-1196233379"/>
      <w:docPartObj>
        <w:docPartGallery w:val="Page Numbers (Top of Page)"/>
        <w:docPartUnique/>
      </w:docPartObj>
    </w:sdtPr>
    <w:sdtEndPr>
      <w:rPr>
        <w:cs/>
      </w:rPr>
    </w:sdtEndPr>
    <w:sdtContent>
      <w:p w:rsidR="004C64D8" w:rsidRDefault="00C3464B">
        <w:pPr>
          <w:pStyle w:val="a8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AA7E59" w:rsidRPr="00AA7E59">
          <w:rPr>
            <w:noProof/>
            <w:rtl/>
            <w:lang w:val="he-IL"/>
          </w:rPr>
          <w:t>2</w:t>
        </w:r>
        <w:r>
          <w:fldChar w:fldCharType="end"/>
        </w:r>
      </w:p>
    </w:sdtContent>
  </w:sdt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68D2" w:rsidRDefault="004D68D2" w:rsidP="006F2904">
    <w:pPr>
      <w:pStyle w:val="a8"/>
      <w:jc w:val="center"/>
      <w:rPr>
        <w:b w:val="0"/>
        <w:bCs w:val="0"/>
        <w:szCs w:val="40"/>
        <w:rtl/>
      </w:rPr>
    </w:pPr>
    <w:r>
      <w:rPr>
        <w:b w:val="0"/>
        <w:bCs w:val="0"/>
        <w:noProof/>
        <w:sz w:val="28"/>
        <w:szCs w:val="28"/>
        <w:rtl/>
        <w:lang w:eastAsia="en-US"/>
      </w:rPr>
      <w:drawing>
        <wp:anchor distT="0" distB="0" distL="114300" distR="114300" simplePos="0" relativeHeight="251659264" behindDoc="1" locked="0" layoutInCell="1" allowOverlap="1" wp14:anchorId="33406718" wp14:editId="48BFCEB9">
          <wp:simplePos x="0" y="0"/>
          <wp:positionH relativeFrom="column">
            <wp:posOffset>2310765</wp:posOffset>
          </wp:positionH>
          <wp:positionV relativeFrom="paragraph">
            <wp:posOffset>-15240</wp:posOffset>
          </wp:positionV>
          <wp:extent cx="567055" cy="635000"/>
          <wp:effectExtent l="0" t="0" r="4445" b="0"/>
          <wp:wrapTight wrapText="bothSides">
            <wp:wrapPolygon edited="0">
              <wp:start x="0" y="0"/>
              <wp:lineTo x="0" y="20736"/>
              <wp:lineTo x="21044" y="20736"/>
              <wp:lineTo x="21044" y="0"/>
              <wp:lineTo x="0" y="0"/>
            </wp:wrapPolygon>
          </wp:wrapTight>
          <wp:docPr id="4" name="תמונה 4" descr="MEDINA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MEDINA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7055" cy="635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D68D2" w:rsidRDefault="004D68D2" w:rsidP="004D68D2">
    <w:pPr>
      <w:pStyle w:val="a8"/>
      <w:spacing w:line="240" w:lineRule="auto"/>
      <w:jc w:val="center"/>
      <w:rPr>
        <w:b w:val="0"/>
        <w:bCs w:val="0"/>
        <w:szCs w:val="40"/>
        <w:rtl/>
      </w:rPr>
    </w:pPr>
  </w:p>
  <w:p w:rsidR="006F2904" w:rsidRDefault="00C3464B" w:rsidP="004D68D2">
    <w:pPr>
      <w:pStyle w:val="a8"/>
      <w:spacing w:line="240" w:lineRule="auto"/>
      <w:jc w:val="center"/>
      <w:rPr>
        <w:b w:val="0"/>
        <w:bCs w:val="0"/>
        <w:szCs w:val="40"/>
        <w:rtl/>
      </w:rPr>
    </w:pPr>
    <w:r>
      <w:rPr>
        <w:b w:val="0"/>
        <w:bCs w:val="0"/>
        <w:szCs w:val="40"/>
        <w:rtl/>
      </w:rPr>
      <w:t>מדינת ישראל</w:t>
    </w:r>
  </w:p>
  <w:p w:rsidR="006F2904" w:rsidRDefault="00C3464B" w:rsidP="004D68D2">
    <w:pPr>
      <w:pStyle w:val="a8"/>
      <w:spacing w:line="240" w:lineRule="auto"/>
      <w:jc w:val="center"/>
      <w:rPr>
        <w:b w:val="0"/>
        <w:bCs w:val="0"/>
        <w:szCs w:val="32"/>
        <w:rtl/>
      </w:rPr>
    </w:pPr>
    <w:r>
      <w:rPr>
        <w:b w:val="0"/>
        <w:bCs w:val="0"/>
        <w:szCs w:val="32"/>
        <w:rtl/>
      </w:rPr>
      <w:t>משרד האוצר - אגף שוק ההון, ביטוח וח</w:t>
    </w:r>
    <w:r>
      <w:rPr>
        <w:rFonts w:hint="cs"/>
        <w:b w:val="0"/>
        <w:bCs w:val="0"/>
        <w:szCs w:val="32"/>
        <w:rtl/>
      </w:rPr>
      <w:t>י</w:t>
    </w:r>
    <w:r>
      <w:rPr>
        <w:b w:val="0"/>
        <w:bCs w:val="0"/>
        <w:szCs w:val="32"/>
        <w:rtl/>
      </w:rPr>
      <w:t>סכון</w:t>
    </w:r>
  </w:p>
  <w:p w:rsidR="004D68D2" w:rsidRDefault="004D68D2" w:rsidP="004D68D2">
    <w:pPr>
      <w:pStyle w:val="a8"/>
      <w:spacing w:line="240" w:lineRule="auto"/>
      <w:jc w:val="center"/>
      <w:rPr>
        <w:b w:val="0"/>
        <w:bCs w:val="0"/>
        <w:szCs w:val="3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690D37"/>
    <w:multiLevelType w:val="multilevel"/>
    <w:tmpl w:val="2C7611E6"/>
    <w:numStyleLink w:val="-0"/>
  </w:abstractNum>
  <w:abstractNum w:abstractNumId="4">
    <w:nsid w:val="477D4CEE"/>
    <w:multiLevelType w:val="multilevel"/>
    <w:tmpl w:val="2C7611E6"/>
    <w:numStyleLink w:val="-0"/>
  </w:abstractNum>
  <w:abstractNum w:abstractNumId="5">
    <w:nsid w:val="52C63965"/>
    <w:multiLevelType w:val="multilevel"/>
    <w:tmpl w:val="CB2CFB36"/>
    <w:numStyleLink w:val="-"/>
  </w:abstractNum>
  <w:abstractNum w:abstractNumId="6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02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trackRevisions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464B"/>
    <w:rsid w:val="00014182"/>
    <w:rsid w:val="00047C97"/>
    <w:rsid w:val="000520B7"/>
    <w:rsid w:val="000568CE"/>
    <w:rsid w:val="00066383"/>
    <w:rsid w:val="000775FB"/>
    <w:rsid w:val="0008496E"/>
    <w:rsid w:val="00093B9D"/>
    <w:rsid w:val="000B6A5F"/>
    <w:rsid w:val="000C04AE"/>
    <w:rsid w:val="000E6098"/>
    <w:rsid w:val="000E632C"/>
    <w:rsid w:val="0010326C"/>
    <w:rsid w:val="001116CC"/>
    <w:rsid w:val="001611C6"/>
    <w:rsid w:val="00164B30"/>
    <w:rsid w:val="001758D1"/>
    <w:rsid w:val="0018292D"/>
    <w:rsid w:val="001A7C42"/>
    <w:rsid w:val="001C4F6D"/>
    <w:rsid w:val="001D55DD"/>
    <w:rsid w:val="001E548A"/>
    <w:rsid w:val="00275887"/>
    <w:rsid w:val="002A54A3"/>
    <w:rsid w:val="002A7FEA"/>
    <w:rsid w:val="002E38F4"/>
    <w:rsid w:val="002F197C"/>
    <w:rsid w:val="00325E01"/>
    <w:rsid w:val="00361114"/>
    <w:rsid w:val="003840FE"/>
    <w:rsid w:val="00393C6A"/>
    <w:rsid w:val="003A1D7A"/>
    <w:rsid w:val="003C3A5C"/>
    <w:rsid w:val="003D2768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62777"/>
    <w:rsid w:val="004C127D"/>
    <w:rsid w:val="004C5538"/>
    <w:rsid w:val="004D65A1"/>
    <w:rsid w:val="004D68D2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6664E"/>
    <w:rsid w:val="0067348F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7208E"/>
    <w:rsid w:val="008B39D7"/>
    <w:rsid w:val="008E77BE"/>
    <w:rsid w:val="00910BC9"/>
    <w:rsid w:val="00915C9A"/>
    <w:rsid w:val="00935E81"/>
    <w:rsid w:val="00986444"/>
    <w:rsid w:val="00990A24"/>
    <w:rsid w:val="009B64FE"/>
    <w:rsid w:val="009E52B5"/>
    <w:rsid w:val="009F00FB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A7E59"/>
    <w:rsid w:val="00AD0167"/>
    <w:rsid w:val="00AE4B56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1649"/>
    <w:rsid w:val="00C27AC8"/>
    <w:rsid w:val="00C3464B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41B31"/>
    <w:rsid w:val="00E56588"/>
    <w:rsid w:val="00E6311F"/>
    <w:rsid w:val="00E95EEF"/>
    <w:rsid w:val="00EA6729"/>
    <w:rsid w:val="00EC303E"/>
    <w:rsid w:val="00EF71D7"/>
    <w:rsid w:val="00F00D41"/>
    <w:rsid w:val="00F0592A"/>
    <w:rsid w:val="00F25ABF"/>
    <w:rsid w:val="00F43C67"/>
    <w:rsid w:val="00F509E4"/>
    <w:rsid w:val="00F5321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464B"/>
    <w:pPr>
      <w:bidi/>
      <w:spacing w:before="0" w:after="0" w:line="240" w:lineRule="auto"/>
      <w:jc w:val="both"/>
    </w:pPr>
    <w:rPr>
      <w:rFonts w:ascii="Arial Narrow" w:eastAsia="Times New Roman" w:hAnsi="Arial Narrow" w:cs="David"/>
      <w:sz w:val="26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ascii="Times New Roman" w:eastAsiaTheme="minorHAnsi" w:hAnsi="Times New Roman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ascii="Times New Roman" w:eastAsiaTheme="minorHAnsi" w:hAnsi="Times New Roman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ascii="Times New Roman" w:eastAsiaTheme="minorHAnsi" w:hAnsi="Times New Roman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ascii="Times New Roman" w:eastAsiaTheme="minorHAnsi" w:hAnsi="Times New Roman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ascii="Times New Roman" w:eastAsiaTheme="minorHAnsi" w:hAnsi="Times New Roman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ascii="Times New Roman" w:eastAsiaTheme="minorHAnsi" w:hAnsi="Times New Roman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ascii="Times New Roman" w:eastAsiaTheme="minorHAnsi" w:hAnsi="Times New Roman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ascii="Times New Roman" w:eastAsiaTheme="minorHAnsi" w:hAnsi="Times New Roman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ascii="Times New Roman" w:eastAsiaTheme="minorHAnsi" w:hAnsi="Times New Roman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ascii="Times New Roman" w:eastAsiaTheme="minorHAnsi" w:hAnsi="Times New Roman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ascii="Times New Roman" w:eastAsiaTheme="minorHAnsi" w:hAnsi="Times New Roman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ascii="Times New Roman" w:eastAsiaTheme="minorHAnsi" w:hAnsi="Times New Roman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ascii="Times New Roman" w:eastAsiaTheme="minorHAnsi" w:hAnsi="Times New Roman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ascii="Times New Roman" w:eastAsiaTheme="minorHAnsi" w:hAnsi="Times New Roman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ascii="Times New Roman" w:eastAsiaTheme="minorHAnsi" w:hAnsi="Times New Roman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C3464B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customStyle="1" w:styleId="a9">
    <w:name w:val="כותרת עליונה תו"/>
    <w:basedOn w:val="a0"/>
    <w:link w:val="a8"/>
    <w:uiPriority w:val="99"/>
    <w:rsid w:val="00C3464B"/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aa">
    <w:name w:val="footer"/>
    <w:basedOn w:val="a"/>
    <w:link w:val="ab"/>
    <w:rsid w:val="00C3464B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customStyle="1" w:styleId="ab">
    <w:name w:val="כותרת תחתונה תו"/>
    <w:basedOn w:val="a0"/>
    <w:link w:val="aa"/>
    <w:rsid w:val="00C3464B"/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c">
    <w:name w:val="page number"/>
    <w:basedOn w:val="a0"/>
    <w:rsid w:val="00C3464B"/>
  </w:style>
  <w:style w:type="character" w:styleId="Hyperlink">
    <w:name w:val="Hyperlink"/>
    <w:rsid w:val="00C3464B"/>
    <w:rPr>
      <w:color w:val="0000FF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C3464B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464B"/>
    <w:rPr>
      <w:rFonts w:ascii="Tahoma" w:eastAsia="Times New Roman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464B"/>
    <w:pPr>
      <w:bidi/>
      <w:spacing w:before="0" w:after="0" w:line="240" w:lineRule="auto"/>
      <w:jc w:val="both"/>
    </w:pPr>
    <w:rPr>
      <w:rFonts w:ascii="Arial Narrow" w:eastAsia="Times New Roman" w:hAnsi="Arial Narrow" w:cs="David"/>
      <w:sz w:val="26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ascii="Times New Roman" w:eastAsiaTheme="minorHAnsi" w:hAnsi="Times New Roman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ascii="Times New Roman" w:eastAsiaTheme="minorHAnsi" w:hAnsi="Times New Roman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ascii="Times New Roman" w:eastAsiaTheme="minorHAnsi" w:hAnsi="Times New Roman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ascii="Times New Roman" w:eastAsiaTheme="minorHAnsi" w:hAnsi="Times New Roman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ascii="Times New Roman" w:eastAsiaTheme="minorHAnsi" w:hAnsi="Times New Roman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ascii="Times New Roman" w:eastAsiaTheme="minorHAnsi" w:hAnsi="Times New Roman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ascii="Times New Roman" w:eastAsiaTheme="minorHAnsi" w:hAnsi="Times New Roman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ascii="Times New Roman" w:eastAsiaTheme="minorHAnsi" w:hAnsi="Times New Roman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ascii="Times New Roman" w:eastAsiaTheme="minorHAnsi" w:hAnsi="Times New Roman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ascii="Times New Roman" w:eastAsiaTheme="minorHAnsi" w:hAnsi="Times New Roman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ascii="Times New Roman" w:eastAsiaTheme="minorHAnsi" w:hAnsi="Times New Roman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ascii="Times New Roman" w:eastAsiaTheme="minorHAnsi" w:hAnsi="Times New Roman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ascii="Times New Roman" w:eastAsiaTheme="minorHAnsi" w:hAnsi="Times New Roman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ascii="Times New Roman" w:eastAsiaTheme="minorHAnsi" w:hAnsi="Times New Roman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ascii="Times New Roman" w:eastAsiaTheme="minorHAnsi" w:hAnsi="Times New Roman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C3464B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customStyle="1" w:styleId="a9">
    <w:name w:val="כותרת עליונה תו"/>
    <w:basedOn w:val="a0"/>
    <w:link w:val="a8"/>
    <w:uiPriority w:val="99"/>
    <w:rsid w:val="00C3464B"/>
    <w:rPr>
      <w:rFonts w:ascii="Times New Roman" w:eastAsia="Times New Roman" w:hAnsi="Times New Roman" w:cs="David"/>
      <w:b/>
      <w:bCs/>
      <w:szCs w:val="24"/>
      <w:lang w:eastAsia="he-IL"/>
    </w:rPr>
  </w:style>
  <w:style w:type="paragraph" w:styleId="aa">
    <w:name w:val="footer"/>
    <w:basedOn w:val="a"/>
    <w:link w:val="ab"/>
    <w:rsid w:val="00C3464B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rFonts w:ascii="Times New Roman" w:hAnsi="Times New Roman"/>
      <w:b/>
      <w:bCs/>
      <w:sz w:val="22"/>
    </w:rPr>
  </w:style>
  <w:style w:type="character" w:customStyle="1" w:styleId="ab">
    <w:name w:val="כותרת תחתונה תו"/>
    <w:basedOn w:val="a0"/>
    <w:link w:val="aa"/>
    <w:rsid w:val="00C3464B"/>
    <w:rPr>
      <w:rFonts w:ascii="Times New Roman" w:eastAsia="Times New Roman" w:hAnsi="Times New Roman" w:cs="David"/>
      <w:b/>
      <w:bCs/>
      <w:szCs w:val="24"/>
      <w:lang w:eastAsia="he-IL"/>
    </w:rPr>
  </w:style>
  <w:style w:type="character" w:styleId="ac">
    <w:name w:val="page number"/>
    <w:basedOn w:val="a0"/>
    <w:rsid w:val="00C3464B"/>
  </w:style>
  <w:style w:type="character" w:styleId="Hyperlink">
    <w:name w:val="Hyperlink"/>
    <w:rsid w:val="00C3464B"/>
    <w:rPr>
      <w:color w:val="0000FF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C3464B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464B"/>
    <w:rPr>
      <w:rFonts w:ascii="Tahoma" w:eastAsia="Times New Roman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59B6C7-4977-4B1C-9B48-3B82629F8E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183</Words>
  <Characters>920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1101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זרביב</dc:creator>
  <cp:keywords/>
  <dc:description/>
  <cp:lastModifiedBy>אודליה אילוז-לוי</cp:lastModifiedBy>
  <cp:revision>3</cp:revision>
  <dcterms:created xsi:type="dcterms:W3CDTF">2012-02-15T11:32:00Z</dcterms:created>
  <dcterms:modified xsi:type="dcterms:W3CDTF">2012-02-15T11:34:00Z</dcterms:modified>
</cp:coreProperties>
</file>